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168" w:type="dxa"/>
        <w:tblLook w:val="01E0"/>
      </w:tblPr>
      <w:tblGrid>
        <w:gridCol w:w="11186"/>
        <w:gridCol w:w="10247"/>
        <w:gridCol w:w="10247"/>
      </w:tblGrid>
      <w:tr w:rsidR="00B001B0" w:rsidRPr="00EB4B9A" w:rsidTr="00892BDC">
        <w:trPr>
          <w:trHeight w:val="2694"/>
        </w:trPr>
        <w:tc>
          <w:tcPr>
            <w:tcW w:w="11523" w:type="dxa"/>
            <w:hideMark/>
          </w:tcPr>
          <w:tbl>
            <w:tblPr>
              <w:tblW w:w="10031" w:type="dxa"/>
              <w:jc w:val="center"/>
              <w:tblLook w:val="01E0"/>
            </w:tblPr>
            <w:tblGrid>
              <w:gridCol w:w="4395"/>
              <w:gridCol w:w="1276"/>
              <w:gridCol w:w="4360"/>
            </w:tblGrid>
            <w:tr w:rsidR="00B001B0" w:rsidRPr="00EB4B9A" w:rsidTr="00892BDC">
              <w:trPr>
                <w:trHeight w:val="1418"/>
                <w:jc w:val="center"/>
              </w:trPr>
              <w:tc>
                <w:tcPr>
                  <w:tcW w:w="4395" w:type="dxa"/>
                  <w:vAlign w:val="center"/>
                </w:tcPr>
                <w:p w:rsidR="00B001B0" w:rsidRPr="00EB4B9A" w:rsidRDefault="00742C67" w:rsidP="00892BDC">
                  <w:pPr>
                    <w:spacing w:after="0" w:line="240" w:lineRule="auto"/>
                    <w:ind w:left="-1209" w:right="-108" w:firstLine="1209"/>
                    <w:jc w:val="center"/>
                    <w:rPr>
                      <w:rFonts w:ascii="BashFont" w:hAnsi="BashFont"/>
                      <w:b/>
                    </w:rPr>
                  </w:pPr>
                  <w:r w:rsidRPr="00742C67">
                    <w:rPr>
                      <w:rFonts w:ascii="BashFont" w:hAnsi="BashFont" w:cs="Times New Roman"/>
                      <w:sz w:val="24"/>
                      <w:szCs w:val="20"/>
                    </w:rPr>
                    <w:pict>
                      <v:line id="_x0000_s1026" style="position:absolute;left:0;text-align:left;flip:y;z-index:251660288" from="-28.6pt,94.6pt" to="456.6pt,95.8pt" o:allowincell="f" strokeweight="4.5pt">
                        <v:stroke linestyle="thickThin"/>
                      </v:line>
                    </w:pict>
                  </w:r>
                  <w:r w:rsidR="00B001B0" w:rsidRPr="00EB4B9A">
                    <w:rPr>
                      <w:rFonts w:ascii="BashFont" w:hAnsi="BashFont"/>
                      <w:b/>
                    </w:rPr>
                    <w:t>БАШ</w:t>
                  </w:r>
                  <w:r w:rsidR="00B001B0" w:rsidRPr="00EB4B9A">
                    <w:rPr>
                      <w:rFonts w:ascii="BashFont" w:hAnsi="BashFont"/>
                      <w:b/>
                      <w:lang w:val="be-BY"/>
                    </w:rPr>
                    <w:t>%</w:t>
                  </w:r>
                  <w:r w:rsidR="00B001B0"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="00B001B0"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="00B001B0"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А%ЪЮЛ АУЫЛ СОВЕТЫ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 w:rsidRPr="00EB4B9A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</w:p>
              </w:tc>
            </w:tr>
          </w:tbl>
          <w:p w:rsidR="00B001B0" w:rsidRPr="00EB4B9A" w:rsidRDefault="00B001B0" w:rsidP="00892BDC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001B0" w:rsidRPr="00EB4B9A" w:rsidTr="00892BDC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B001B0" w:rsidRPr="00EB4B9A" w:rsidRDefault="00B001B0" w:rsidP="00892BDC">
                  <w:pPr>
                    <w:spacing w:after="0" w:line="240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B001B0" w:rsidRPr="00EB4B9A" w:rsidRDefault="00B001B0" w:rsidP="00892BDC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001B0" w:rsidRPr="00EB4B9A" w:rsidTr="00892BDC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B4B9A">
                    <w:rPr>
                      <w:rFonts w:ascii="BashFont" w:hAnsi="BashFont"/>
                      <w:b/>
                    </w:rPr>
                    <w:t>БАШ</w:t>
                  </w:r>
                  <w:r w:rsidRPr="00EB4B9A">
                    <w:rPr>
                      <w:rFonts w:ascii="BashFont" w:hAnsi="a_Timer Bashkir"/>
                      <w:b/>
                      <w:lang w:val="be-BY"/>
                    </w:rPr>
                    <w:t>Ҡ</w:t>
                  </w:r>
                  <w:r w:rsidRPr="00EB4B9A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Pr="00EB4B9A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EB4B9A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 w:rsidRPr="00EB4B9A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 w:rsidRPr="00EB4B9A"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9130" cy="826770"/>
                        <wp:effectExtent l="19050" t="0" r="762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001B0" w:rsidRPr="00EB4B9A" w:rsidRDefault="00B001B0" w:rsidP="00892BDC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 w:rsidRPr="00EB4B9A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EB4B9A">
                    <w:rPr>
                      <w:rFonts w:ascii="BashFont" w:hAnsi="BashFont"/>
                      <w:lang w:val="be-BY"/>
                    </w:rPr>
                    <w:t xml:space="preserve"> </w:t>
                  </w:r>
                  <w:r w:rsidRPr="00EB4B9A"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B001B0" w:rsidRPr="00EB4B9A" w:rsidRDefault="00B001B0" w:rsidP="00892BDC">
            <w:pPr>
              <w:spacing w:after="0" w:line="240" w:lineRule="auto"/>
              <w:jc w:val="center"/>
              <w:rPr>
                <w:rFonts w:ascii="BashFont" w:hAnsi="BashFont"/>
              </w:rPr>
            </w:pPr>
          </w:p>
        </w:tc>
      </w:tr>
    </w:tbl>
    <w:p w:rsidR="00B001B0" w:rsidRPr="002A4BA2" w:rsidRDefault="00B001B0" w:rsidP="00B00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1B0" w:rsidRPr="005B3189" w:rsidRDefault="00B001B0" w:rsidP="005B3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A2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2A4BA2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РЕШ</w:t>
      </w:r>
      <w:r w:rsidR="005B3189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B001B0" w:rsidRPr="005B3189" w:rsidRDefault="00B001B0" w:rsidP="005B3189">
      <w:pPr>
        <w:pStyle w:val="a3"/>
        <w:jc w:val="center"/>
        <w:rPr>
          <w:b/>
        </w:rPr>
      </w:pPr>
      <w:r w:rsidRPr="005B3189">
        <w:rPr>
          <w:b/>
        </w:rPr>
        <w:t>О порядке установки указателей наименований улиц и номеров на жилые дома, здания, сооружения</w:t>
      </w:r>
    </w:p>
    <w:p w:rsidR="00B001B0" w:rsidRPr="00B001B0" w:rsidRDefault="00B001B0" w:rsidP="00B001B0">
      <w:pPr>
        <w:pStyle w:val="a3"/>
      </w:pPr>
      <w:r w:rsidRPr="00B001B0">
        <w:t>В соответствии с Федеральным законом от 06.10.2003 N 131-ФЗ «Об общих принципах организации местного самоуправления в Российской Федерации, Уставом се</w:t>
      </w:r>
      <w:r w:rsidR="005B3189">
        <w:t xml:space="preserve">льского поселения Акъюловский </w:t>
      </w:r>
      <w:r w:rsidRPr="00B001B0">
        <w:t xml:space="preserve">сельсовет муниципального района </w:t>
      </w:r>
      <w:proofErr w:type="spellStart"/>
      <w:r w:rsidRPr="00B001B0">
        <w:t>Хайбуллинский</w:t>
      </w:r>
      <w:proofErr w:type="spellEnd"/>
      <w:r w:rsidRPr="00B001B0">
        <w:t xml:space="preserve"> район Республики Башкортостан, Совет сельского поселения </w:t>
      </w:r>
      <w:r w:rsidR="005B3189">
        <w:t>Акъюловский</w:t>
      </w:r>
      <w:r w:rsidR="005B3189" w:rsidRPr="00B001B0">
        <w:t xml:space="preserve"> </w:t>
      </w:r>
      <w:r w:rsidRPr="00B001B0">
        <w:t xml:space="preserve">сельсовет муниципального района </w:t>
      </w:r>
      <w:proofErr w:type="spellStart"/>
      <w:r w:rsidRPr="00B001B0">
        <w:t>Хайбуллинский</w:t>
      </w:r>
      <w:proofErr w:type="spellEnd"/>
      <w:r w:rsidRPr="00B001B0">
        <w:t xml:space="preserve"> район Республики Башкортостан решил:</w:t>
      </w:r>
    </w:p>
    <w:p w:rsidR="00B001B0" w:rsidRPr="00B001B0" w:rsidRDefault="00B001B0" w:rsidP="00B001B0">
      <w:pPr>
        <w:pStyle w:val="a3"/>
      </w:pPr>
      <w:r w:rsidRPr="00B001B0">
        <w:t xml:space="preserve">1. Утвердить прилагаемый Порядок установки указателей наименований и номеров на жилые дома, здания, сооружения на территории сельского поселения </w:t>
      </w:r>
      <w:r w:rsidR="005B3189">
        <w:t>Акъюловский</w:t>
      </w:r>
      <w:r w:rsidRPr="00B001B0">
        <w:t xml:space="preserve"> сельсовет муниципального района </w:t>
      </w:r>
      <w:proofErr w:type="spellStart"/>
      <w:r w:rsidRPr="00B001B0">
        <w:t>Хайбуллинский</w:t>
      </w:r>
      <w:proofErr w:type="spellEnd"/>
      <w:r w:rsidRPr="00B001B0">
        <w:t xml:space="preserve"> район республики Башкортостан (</w:t>
      </w:r>
      <w:proofErr w:type="spellStart"/>
      <w:r w:rsidRPr="00B001B0">
        <w:t>далее-Порядок</w:t>
      </w:r>
      <w:proofErr w:type="spellEnd"/>
      <w:r w:rsidRPr="00B001B0">
        <w:t>).</w:t>
      </w:r>
    </w:p>
    <w:p w:rsidR="00B001B0" w:rsidRPr="00B001B0" w:rsidRDefault="00B001B0" w:rsidP="00B001B0">
      <w:pPr>
        <w:pStyle w:val="a3"/>
      </w:pPr>
      <w:r w:rsidRPr="00B001B0">
        <w:t xml:space="preserve">2. Обнародовать настоящее решение путем размещения на информационном стенде и официальном сайте администрации сельского поселения </w:t>
      </w:r>
      <w:r w:rsidR="005B3189">
        <w:t xml:space="preserve"> Акъюловский</w:t>
      </w:r>
      <w:r w:rsidR="005B3189" w:rsidRPr="00B001B0">
        <w:t xml:space="preserve"> </w:t>
      </w:r>
      <w:r w:rsidRPr="00B001B0">
        <w:t>сельсовет.</w:t>
      </w:r>
    </w:p>
    <w:p w:rsidR="00B001B0" w:rsidRPr="00B001B0" w:rsidRDefault="00B001B0" w:rsidP="00B001B0">
      <w:pPr>
        <w:pStyle w:val="a3"/>
      </w:pPr>
      <w:r w:rsidRPr="00B001B0">
        <w:t>3. Настоящее решение вступает в силу со дня подписания.</w:t>
      </w:r>
    </w:p>
    <w:p w:rsidR="005B3189" w:rsidRDefault="005B3189" w:rsidP="005B3189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Глава сельского поселения </w:t>
      </w:r>
      <w:r>
        <w:rPr>
          <w:color w:val="3C3C3C"/>
        </w:rPr>
        <w:tab/>
      </w:r>
      <w:r>
        <w:rPr>
          <w:color w:val="3C3C3C"/>
        </w:rPr>
        <w:tab/>
        <w:t xml:space="preserve">                          </w:t>
      </w:r>
      <w:proofErr w:type="spellStart"/>
      <w:r>
        <w:rPr>
          <w:color w:val="3C3C3C"/>
        </w:rPr>
        <w:t>Ильбаков</w:t>
      </w:r>
      <w:proofErr w:type="spellEnd"/>
      <w:r>
        <w:rPr>
          <w:color w:val="3C3C3C"/>
        </w:rPr>
        <w:t xml:space="preserve"> Б.И.</w:t>
      </w:r>
    </w:p>
    <w:p w:rsidR="005B3189" w:rsidRDefault="005B3189" w:rsidP="005B3189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алиахметово</w:t>
      </w:r>
      <w:proofErr w:type="spellEnd"/>
    </w:p>
    <w:p w:rsidR="005B3189" w:rsidRDefault="005B3189" w:rsidP="005B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  2019 года</w:t>
      </w:r>
    </w:p>
    <w:p w:rsidR="005B3189" w:rsidRDefault="005B3189" w:rsidP="005B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№Р-29-83</w:t>
      </w:r>
    </w:p>
    <w:p w:rsidR="005B3189" w:rsidRDefault="005B3189" w:rsidP="00B001B0">
      <w:pPr>
        <w:pStyle w:val="a3"/>
      </w:pPr>
    </w:p>
    <w:p w:rsidR="005B3189" w:rsidRDefault="005B3189" w:rsidP="00B001B0">
      <w:pPr>
        <w:pStyle w:val="a3"/>
      </w:pPr>
    </w:p>
    <w:p w:rsidR="005B3189" w:rsidRDefault="005B3189" w:rsidP="00B001B0">
      <w:pPr>
        <w:pStyle w:val="a3"/>
      </w:pPr>
    </w:p>
    <w:p w:rsidR="005B3189" w:rsidRDefault="005B3189" w:rsidP="005B3189">
      <w:pPr>
        <w:pStyle w:val="a3"/>
        <w:jc w:val="center"/>
      </w:pPr>
    </w:p>
    <w:p w:rsidR="005B3189" w:rsidRDefault="005B3189" w:rsidP="005B3189">
      <w:pPr>
        <w:pStyle w:val="a3"/>
        <w:jc w:val="center"/>
      </w:pPr>
    </w:p>
    <w:p w:rsidR="005B3189" w:rsidRDefault="005B3189" w:rsidP="005B3189">
      <w:pPr>
        <w:pStyle w:val="a3"/>
        <w:jc w:val="center"/>
      </w:pPr>
    </w:p>
    <w:p w:rsidR="005B3189" w:rsidRDefault="005B3189" w:rsidP="005B3189">
      <w:pPr>
        <w:pStyle w:val="a3"/>
        <w:jc w:val="center"/>
      </w:pPr>
    </w:p>
    <w:p w:rsidR="00B001B0" w:rsidRPr="005B3189" w:rsidRDefault="00B001B0" w:rsidP="005B3189">
      <w:pPr>
        <w:pStyle w:val="a3"/>
        <w:jc w:val="center"/>
        <w:rPr>
          <w:b/>
        </w:rPr>
      </w:pPr>
      <w:r w:rsidRPr="005B3189">
        <w:rPr>
          <w:b/>
        </w:rPr>
        <w:lastRenderedPageBreak/>
        <w:t>Порядок установки указателей наименований улиц и номеров на жилые дома, здания, сооружения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1. Общие положения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 xml:space="preserve">2.1. Порядок установки указателей наименований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 </w:t>
      </w:r>
      <w:r w:rsidR="005B3189">
        <w:t>Акъюловский</w:t>
      </w:r>
      <w:r w:rsidR="005B3189" w:rsidRPr="00B001B0">
        <w:t xml:space="preserve"> </w:t>
      </w:r>
      <w:r w:rsidRPr="00B001B0">
        <w:t>сельсовет.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2.2.Организация установки указателей с названиями улиц и номерами жилых домов, зданий, сооружений осуществляется в соответствии с Федеральным законом от 06.10.2003 N 131-ФЗ «Об общих принципах организации местного самоуправления в Российской Федерации» и другими нормативно-правыми актами.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2. Термины и определения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В настоящем Положении используются следующие термины и определения: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1.1.Улица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1.2.Домовой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3. Сфера правового регулирования и организация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исполнения настоящих Правил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 Установка указателей с названиями улиц и номерами домов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Правилами.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4.6. Указатель с обозначением наименования улицы и номера дома размещается в верхнем правом углу фасада на высоте от 2,5 до 3,5 метра от уровня земли.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Указатель улицы и номера дома представляет собой: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 xml:space="preserve">- для многоэтажных жилых домов и других строений - металлическую пластинку (размером 300 </w:t>
      </w:r>
      <w:proofErr w:type="spellStart"/>
      <w:r w:rsidRPr="00B001B0">
        <w:t>x</w:t>
      </w:r>
      <w:proofErr w:type="spellEnd"/>
      <w:r w:rsidRPr="00B001B0">
        <w:t xml:space="preserve"> 900 мм). На белом фоне расположены и буквы и номер дома синего цвета;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 xml:space="preserve">- для одноэтажных жилых домов и других строений - металлическую пластинку (размером 160 </w:t>
      </w:r>
      <w:proofErr w:type="spellStart"/>
      <w:r w:rsidRPr="00B001B0">
        <w:t>x</w:t>
      </w:r>
      <w:proofErr w:type="spellEnd"/>
      <w:r w:rsidRPr="00B001B0">
        <w:t xml:space="preserve"> 600 мм). На белом фоне расположены буквы и номер дома синего цвета.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lastRenderedPageBreak/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001B0">
        <w:t xml:space="preserve">., </w:t>
      </w:r>
      <w:proofErr w:type="spellStart"/>
      <w:proofErr w:type="gramEnd"/>
      <w:r w:rsidRPr="00B001B0">
        <w:t>бульв</w:t>
      </w:r>
      <w:proofErr w:type="spellEnd"/>
      <w:r w:rsidRPr="00B001B0">
        <w:t>, ул..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Порядковый номер одноименных улиц, переулков ставится в начале названия и пишется цифрой.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 xml:space="preserve">4.8. Указатель номера подъезда и находящихся в нем квартир (размер 150 </w:t>
      </w:r>
      <w:proofErr w:type="spellStart"/>
      <w:r w:rsidRPr="00B001B0">
        <w:t>x</w:t>
      </w:r>
      <w:proofErr w:type="spellEnd"/>
      <w:r w:rsidRPr="00B001B0">
        <w:t xml:space="preserve"> 250 мм) размещается над входом в подъезд так, как позволяет </w:t>
      </w:r>
      <w:proofErr w:type="gramStart"/>
      <w:r w:rsidRPr="00B001B0">
        <w:t>архитектурное решение</w:t>
      </w:r>
      <w:proofErr w:type="gramEnd"/>
      <w:r w:rsidRPr="00B001B0">
        <w:t xml:space="preserve"> входа в здание. Однако в доме указатели должны быть размещены единообразно.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4.9. Изготовление (реставрация, ремонт) и установка домовых знаков на фасадах зданий, домов, строений, сооружений осуществляется за счет средств собственников.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5. Ответственность юридических и физических лиц за нарушение Положения</w:t>
      </w:r>
    </w:p>
    <w:p w:rsidR="00B001B0" w:rsidRPr="00B001B0" w:rsidRDefault="00B001B0" w:rsidP="005B3189">
      <w:pPr>
        <w:pStyle w:val="a3"/>
        <w:spacing w:before="0" w:beforeAutospacing="0" w:after="0" w:afterAutospacing="0"/>
      </w:pPr>
      <w:r w:rsidRPr="00B001B0"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</w:t>
      </w:r>
    </w:p>
    <w:p w:rsidR="00736716" w:rsidRDefault="00736716" w:rsidP="005B3189">
      <w:pPr>
        <w:spacing w:after="0"/>
      </w:pPr>
    </w:p>
    <w:sectPr w:rsidR="00736716" w:rsidSect="0074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1B0"/>
    <w:rsid w:val="005B3189"/>
    <w:rsid w:val="00736716"/>
    <w:rsid w:val="00742C67"/>
    <w:rsid w:val="00B0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1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1B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B31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2019-02-08T06:01:00Z</dcterms:created>
  <dcterms:modified xsi:type="dcterms:W3CDTF">2019-02-08T06:06:00Z</dcterms:modified>
</cp:coreProperties>
</file>